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4" w:rsidRPr="00A84744" w:rsidRDefault="00A84744" w:rsidP="00A84744">
      <w:pPr>
        <w:pStyle w:val="1"/>
      </w:pPr>
      <w:r w:rsidRPr="00A84744">
        <w:t>В Минсельхозе рассказали, как изменится господдержка АПК в 2024 году</w:t>
      </w:r>
    </w:p>
    <w:p w:rsidR="00A84744" w:rsidRDefault="00A84744" w:rsidP="00A84744">
      <w:pPr>
        <w:pStyle w:val="a3"/>
      </w:pPr>
      <w:hyperlink r:id="rId5" w:history="1">
        <w:r w:rsidRPr="00A84744">
          <w:t>Татьяна Карабут</w:t>
        </w:r>
      </w:hyperlink>
    </w:p>
    <w:p w:rsidR="00A84744" w:rsidRPr="00A84744" w:rsidRDefault="00A84744" w:rsidP="00A84744">
      <w:pPr>
        <w:pStyle w:val="a3"/>
      </w:pPr>
    </w:p>
    <w:p w:rsidR="00A84744" w:rsidRPr="00A84744" w:rsidRDefault="00A84744" w:rsidP="00A84744">
      <w:pPr>
        <w:pStyle w:val="a3"/>
      </w:pPr>
      <w:r w:rsidRPr="00A84744">
        <w:t>С 2024 года в России объединяются компенсирующая и стимулирующая субсидии. Первая предполагала поддержку сельхозпроизводства по отдельным подотраслям растениеводства и животноводства, вторая - стимулирование развития приоритетных подотраслей АПК и развитие малых форм хозяйствования. Проще говоря, компенсирующую субсидию давали на поддержку достигнутых показателей на голову скота, на гектар, на тонну, а стимулирующую - на развитие отраслей, которые регионы выбрали для себя приоритетными.</w:t>
      </w:r>
    </w:p>
    <w:p w:rsidR="00A84744" w:rsidRPr="00A84744" w:rsidRDefault="00A84744" w:rsidP="00A84744">
      <w:pPr>
        <w:pStyle w:val="a3"/>
      </w:pPr>
      <w:r w:rsidRPr="00A84744">
        <w:t>"По сути, идея стимулирующей субсидии была увеличить производство продукции. Но на сегодня мы практически выполнили по всем направлениям продовольственную безопасность, а по некоторым перевыполнили. Поэтому принято решение, что со следующего года мы объединяем эти две субсидии, убирая стимулирование. Наша задача уже сохранить и поддержать производство, а не стимулировать", - рассказывала замминистра сельского хозяйства Елена Фастова в </w:t>
      </w:r>
      <w:hyperlink r:id="rId6" w:tgtFrame="_blank" w:history="1">
        <w:r w:rsidRPr="00A84744">
          <w:t>интервью "РГ"</w:t>
        </w:r>
      </w:hyperlink>
      <w:r w:rsidRPr="00A84744">
        <w:t>.</w:t>
      </w:r>
    </w:p>
    <w:p w:rsidR="00A84744" w:rsidRPr="00A84744" w:rsidRDefault="00A84744" w:rsidP="00A84744">
      <w:pPr>
        <w:pStyle w:val="a3"/>
      </w:pPr>
      <w:r w:rsidRPr="00A84744">
        <w:t>Как рассказали "РГ" в Минсельхозе, "объединенная" субсидия включает поддержку по 12 приоритетным направлениям, в том числе:</w:t>
      </w:r>
    </w:p>
    <w:p w:rsidR="00A84744" w:rsidRPr="00A84744" w:rsidRDefault="00A84744" w:rsidP="00A84744">
      <w:pPr>
        <w:pStyle w:val="a3"/>
      </w:pPr>
      <w:r w:rsidRPr="00A84744">
        <w:t>- проведение агротехнологических работ, повышение уровня экологической безопасности сельхозпроизводства, а также повышение плодородия и качества почв;</w:t>
      </w:r>
    </w:p>
    <w:p w:rsidR="00A84744" w:rsidRPr="00A84744" w:rsidRDefault="00A84744" w:rsidP="00A84744">
      <w:pPr>
        <w:pStyle w:val="a3"/>
      </w:pPr>
      <w:r w:rsidRPr="00A84744">
        <w:t>- элитное семеноводство;</w:t>
      </w:r>
    </w:p>
    <w:p w:rsidR="00A84744" w:rsidRPr="00A84744" w:rsidRDefault="00A84744" w:rsidP="00A84744">
      <w:pPr>
        <w:pStyle w:val="a3"/>
      </w:pPr>
      <w:r w:rsidRPr="00A84744">
        <w:t>- племенное животноводство;</w:t>
      </w:r>
    </w:p>
    <w:p w:rsidR="00A84744" w:rsidRPr="00A84744" w:rsidRDefault="00A84744" w:rsidP="00A84744">
      <w:pPr>
        <w:pStyle w:val="a3"/>
      </w:pPr>
      <w:r w:rsidRPr="00A84744">
        <w:t>- традиционные для субъектов РФ подотрасли сельского хозяйства, включая северное оленеводство;</w:t>
      </w:r>
    </w:p>
    <w:p w:rsidR="00A84744" w:rsidRPr="00A84744" w:rsidRDefault="00A84744" w:rsidP="00A84744">
      <w:pPr>
        <w:pStyle w:val="a3"/>
      </w:pPr>
      <w:r w:rsidRPr="00A84744">
        <w:t>- производство льна-долгунца и (или) технической конопли;</w:t>
      </w:r>
    </w:p>
    <w:p w:rsidR="00A84744" w:rsidRPr="00A84744" w:rsidRDefault="00A84744" w:rsidP="00A84744">
      <w:pPr>
        <w:pStyle w:val="a3"/>
      </w:pPr>
      <w:r w:rsidRPr="00A84744">
        <w:t>- производство продукции плодово-ягодных насаждений, включая посадочный материал, закладку и уход за многолетними насаждениями, за исключением закладки и ухода за виноградниками;</w:t>
      </w:r>
    </w:p>
    <w:p w:rsidR="00A84744" w:rsidRPr="00A84744" w:rsidRDefault="00A84744" w:rsidP="00A84744">
      <w:pPr>
        <w:pStyle w:val="a3"/>
      </w:pPr>
      <w:r w:rsidRPr="00A84744">
        <w:t>- производство молока;</w:t>
      </w:r>
    </w:p>
    <w:p w:rsidR="00A84744" w:rsidRPr="00A84744" w:rsidRDefault="00A84744" w:rsidP="00A84744">
      <w:pPr>
        <w:pStyle w:val="a3"/>
      </w:pPr>
      <w:r w:rsidRPr="00A84744">
        <w:t>- развитие мясного скотоводства;</w:t>
      </w:r>
    </w:p>
    <w:p w:rsidR="00A84744" w:rsidRPr="00A84744" w:rsidRDefault="00A84744" w:rsidP="00A84744">
      <w:pPr>
        <w:pStyle w:val="a3"/>
      </w:pPr>
      <w:r w:rsidRPr="00A84744">
        <w:t>- развитие овцеводства и козоводства;</w:t>
      </w:r>
    </w:p>
    <w:p w:rsidR="00A84744" w:rsidRPr="00A84744" w:rsidRDefault="00A84744" w:rsidP="00A84744">
      <w:pPr>
        <w:pStyle w:val="a3"/>
      </w:pPr>
      <w:r w:rsidRPr="00A84744">
        <w:t>- глубокая переработка зерна и переработка молока сырого крупного рогатого скота, козьего и овечьего на пищевую продукцию;</w:t>
      </w:r>
    </w:p>
    <w:p w:rsidR="00A84744" w:rsidRPr="00A84744" w:rsidRDefault="00A84744" w:rsidP="00A84744">
      <w:pPr>
        <w:pStyle w:val="a3"/>
      </w:pPr>
      <w:r w:rsidRPr="00A84744">
        <w:t>- развитие малых форм хозяйствования;</w:t>
      </w:r>
    </w:p>
    <w:p w:rsidR="00A84744" w:rsidRPr="00A84744" w:rsidRDefault="00A84744" w:rsidP="00A84744">
      <w:pPr>
        <w:pStyle w:val="a3"/>
      </w:pPr>
      <w:r w:rsidRPr="00A84744">
        <w:t>- сельскохозяйственное страхование.</w:t>
      </w:r>
    </w:p>
    <w:p w:rsidR="00A84744" w:rsidRPr="00A84744" w:rsidRDefault="00A84744" w:rsidP="00A84744">
      <w:pPr>
        <w:pStyle w:val="a3"/>
      </w:pPr>
      <w:r w:rsidRPr="00A84744">
        <w:t>Общее количество приоритетных направлений, по которым осуществляется расчет "объединенной" субсидии на очередной финансовый год и на плановый период, составляет восемь, из которых пять устанавливаются для всех субъектов РФ, в том числе:</w:t>
      </w:r>
    </w:p>
    <w:p w:rsidR="00A84744" w:rsidRPr="00A84744" w:rsidRDefault="00A84744" w:rsidP="00A84744">
      <w:pPr>
        <w:pStyle w:val="a3"/>
      </w:pPr>
      <w:r w:rsidRPr="00A84744">
        <w:t>- на поддержку проведения агротехнологических работ, повышение уровня экологической безопасности сельсхозпроизводства, а также повышение плодородия и качества почв,</w:t>
      </w:r>
    </w:p>
    <w:p w:rsidR="00A84744" w:rsidRPr="00A84744" w:rsidRDefault="00A84744" w:rsidP="00A84744">
      <w:pPr>
        <w:pStyle w:val="a3"/>
      </w:pPr>
      <w:r w:rsidRPr="00A84744">
        <w:t>- на поддержку элитного семеноводства и (или) на приобретение семян, произведенных в рамках Федеральной научно-технической программы,</w:t>
      </w:r>
    </w:p>
    <w:p w:rsidR="00A84744" w:rsidRPr="00A84744" w:rsidRDefault="00A84744" w:rsidP="00A84744">
      <w:pPr>
        <w:pStyle w:val="a3"/>
      </w:pPr>
      <w:r w:rsidRPr="00A84744">
        <w:t>- на поддержку племенного животноводства,</w:t>
      </w:r>
    </w:p>
    <w:p w:rsidR="00A84744" w:rsidRPr="00A84744" w:rsidRDefault="00A84744" w:rsidP="00A84744">
      <w:pPr>
        <w:pStyle w:val="a3"/>
      </w:pPr>
      <w:r w:rsidRPr="00A84744">
        <w:t>- на поддержку развития малых форм хозяйствования,</w:t>
      </w:r>
    </w:p>
    <w:p w:rsidR="00A84744" w:rsidRPr="00A84744" w:rsidRDefault="00A84744" w:rsidP="00A84744">
      <w:pPr>
        <w:pStyle w:val="a3"/>
      </w:pPr>
      <w:r w:rsidRPr="00A84744">
        <w:t>- на поддержку сельскохозяйственного страхования.</w:t>
      </w:r>
    </w:p>
    <w:p w:rsidR="00A84744" w:rsidRPr="00A84744" w:rsidRDefault="00A84744" w:rsidP="00A84744">
      <w:pPr>
        <w:pStyle w:val="a3"/>
      </w:pPr>
      <w:r w:rsidRPr="00A84744">
        <w:t>Еще три направления поддержки выбирают регионы самостоятельно.</w:t>
      </w:r>
    </w:p>
    <w:p w:rsidR="00A84744" w:rsidRPr="00A84744" w:rsidRDefault="00A84744" w:rsidP="00A84744">
      <w:pPr>
        <w:pStyle w:val="a3"/>
      </w:pPr>
      <w:bookmarkStart w:id="0" w:name="_GoBack"/>
      <w:r w:rsidRPr="00A84744">
        <w:drawing>
          <wp:inline distT="0" distB="0" distL="0" distR="0" wp14:anchorId="5603F0E1" wp14:editId="703CC71F">
            <wp:extent cx="3000621" cy="2895600"/>
            <wp:effectExtent l="0" t="0" r="9525" b="0"/>
            <wp:docPr id="2" name="Рисунок 2" descr="https://cdnstatic.rg.ru/crop1000x965/uploads/images/2024/01/09/11-polosa-2_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static.rg.ru/crop1000x965/uploads/images/2024/01/09/11-polosa-2_6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12" cy="28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4744" w:rsidRPr="00A84744" w:rsidRDefault="00A84744" w:rsidP="00A84744">
      <w:pPr>
        <w:pStyle w:val="a3"/>
      </w:pPr>
      <w:r w:rsidRPr="00A84744">
        <w:t>В 2024 году запланированный объем господдержки из федерального бюджета в рамках "объединенной" субсидии составляет 49,4 млрд рублей, из них:</w:t>
      </w:r>
    </w:p>
    <w:p w:rsidR="00A84744" w:rsidRPr="00A84744" w:rsidRDefault="00A84744" w:rsidP="00A84744">
      <w:pPr>
        <w:pStyle w:val="a3"/>
      </w:pPr>
      <w:r w:rsidRPr="00A84744">
        <w:lastRenderedPageBreak/>
        <w:t>- на поддержку производство молока - 14,3 млрд рублей,</w:t>
      </w:r>
    </w:p>
    <w:p w:rsidR="00A84744" w:rsidRPr="00A84744" w:rsidRDefault="00A84744" w:rsidP="00A84744">
      <w:pPr>
        <w:pStyle w:val="a3"/>
      </w:pPr>
      <w:r w:rsidRPr="00A84744">
        <w:t>- на поддержку племенного животноводства - 7,6 млрд рублей,</w:t>
      </w:r>
    </w:p>
    <w:p w:rsidR="00A84744" w:rsidRPr="00A84744" w:rsidRDefault="00A84744" w:rsidP="00A84744">
      <w:pPr>
        <w:pStyle w:val="a3"/>
      </w:pPr>
      <w:r w:rsidRPr="00A84744">
        <w:t>- на поддержку многолетних насаждений - 5,8 млрд рублей,</w:t>
      </w:r>
    </w:p>
    <w:p w:rsidR="00A84744" w:rsidRPr="00A84744" w:rsidRDefault="00A84744" w:rsidP="00A84744">
      <w:pPr>
        <w:pStyle w:val="a3"/>
      </w:pPr>
      <w:r w:rsidRPr="00A84744">
        <w:t>- развития малых форм хозяйствований - 5,6 млрд рублей.</w:t>
      </w:r>
    </w:p>
    <w:p w:rsidR="00A84744" w:rsidRPr="00A84744" w:rsidRDefault="00A84744" w:rsidP="00A84744">
      <w:pPr>
        <w:pStyle w:val="a3"/>
      </w:pPr>
      <w:r w:rsidRPr="00A84744">
        <w:t>Общая сумма поддержки российского АПК на финансирование четырех отраслевых госпрограмм составит:</w:t>
      </w:r>
    </w:p>
    <w:p w:rsidR="00A84744" w:rsidRPr="00A84744" w:rsidRDefault="00A84744" w:rsidP="00A84744">
      <w:pPr>
        <w:pStyle w:val="a3"/>
      </w:pPr>
      <w:r w:rsidRPr="00A84744">
        <w:t>- на 2024 год - 558,6 млрд рублей;</w:t>
      </w:r>
    </w:p>
    <w:p w:rsidR="00A84744" w:rsidRPr="00A84744" w:rsidRDefault="00A84744" w:rsidP="00A84744">
      <w:pPr>
        <w:pStyle w:val="a3"/>
      </w:pPr>
      <w:r w:rsidRPr="00A84744">
        <w:t>- на 2025 год - 403,9 млрд рублей;</w:t>
      </w:r>
    </w:p>
    <w:p w:rsidR="00A84744" w:rsidRPr="00A84744" w:rsidRDefault="00A84744" w:rsidP="00A84744">
      <w:pPr>
        <w:pStyle w:val="a3"/>
      </w:pPr>
      <w:r w:rsidRPr="00A84744">
        <w:t>- на 2026 год - 383,8 млрд рублей.</w:t>
      </w:r>
    </w:p>
    <w:p w:rsidR="00A84744" w:rsidRPr="00A84744" w:rsidRDefault="00A84744" w:rsidP="00A84744">
      <w:pPr>
        <w:pStyle w:val="a3"/>
      </w:pPr>
      <w:r w:rsidRPr="00A84744">
        <w:t>В 2023 году первоначально общая сумма господдержки составляла 445 млрд рублей, но в течение года несколько раз увеличивалась, в том числе на льготные кредиты на фоне повышения ключевой ставки.</w:t>
      </w:r>
    </w:p>
    <w:p w:rsidR="00A84744" w:rsidRPr="00A84744" w:rsidRDefault="00A84744" w:rsidP="00A84744">
      <w:pPr>
        <w:pStyle w:val="a3"/>
      </w:pPr>
      <w:r w:rsidRPr="00A84744">
        <w:t>"Основной объем средств федерального бюджета будет направлен на поддержку льготного кредитования, на поддержку приоритетных направлений АПК и развитие малых форм хозяйствования, развитие сельских территорий, в том числе на сельскую ипотеку, а также на развитие мелиоративного комплекса", - пояснили в Минсельхозе.</w:t>
      </w:r>
    </w:p>
    <w:p w:rsidR="0026289E" w:rsidRDefault="0026289E" w:rsidP="00A84744">
      <w:pPr>
        <w:pStyle w:val="a3"/>
      </w:pPr>
    </w:p>
    <w:p w:rsidR="00A84744" w:rsidRPr="00A84744" w:rsidRDefault="00A84744" w:rsidP="00A84744">
      <w:pPr>
        <w:pStyle w:val="a3"/>
      </w:pPr>
      <w:r>
        <w:t xml:space="preserve">Российская газета. - 2024. - </w:t>
      </w:r>
      <w:r>
        <w:rPr>
          <w:b/>
          <w:bCs w:val="0"/>
        </w:rPr>
        <w:t>2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8" w:history="1">
        <w:r>
          <w:rPr>
            <w:rStyle w:val="a4"/>
          </w:rPr>
          <w:t>https://rg.ru/2024/01/02/v-minselhoze-rasskazali-kak-izmenitsia-gospodderzhka-apk-v-2024-godu.html</w:t>
        </w:r>
      </w:hyperlink>
    </w:p>
    <w:sectPr w:rsidR="00A84744" w:rsidRPr="00A8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4"/>
    <w:rsid w:val="0026289E"/>
    <w:rsid w:val="003A319C"/>
    <w:rsid w:val="003F2ACB"/>
    <w:rsid w:val="0073435D"/>
    <w:rsid w:val="00813039"/>
    <w:rsid w:val="008E045F"/>
    <w:rsid w:val="00A77786"/>
    <w:rsid w:val="00A84744"/>
    <w:rsid w:val="00B975DF"/>
    <w:rsid w:val="00C23304"/>
    <w:rsid w:val="00D20588"/>
    <w:rsid w:val="00D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84744"/>
    <w:rPr>
      <w:color w:val="0000FF"/>
      <w:u w:val="single"/>
    </w:rPr>
  </w:style>
  <w:style w:type="character" w:customStyle="1" w:styleId="channelbuttontitlegoff">
    <w:name w:val="channelbutton_title__gof_f"/>
    <w:basedOn w:val="a0"/>
    <w:rsid w:val="00A84744"/>
  </w:style>
  <w:style w:type="character" w:customStyle="1" w:styleId="channelbuttonsubtitlec5elf">
    <w:name w:val="channelbutton_subtitle__c5elf"/>
    <w:basedOn w:val="a0"/>
    <w:rsid w:val="00A84744"/>
  </w:style>
  <w:style w:type="character" w:customStyle="1" w:styleId="channelbuttonbutton7zdq0">
    <w:name w:val="channelbutton_button__7zdq0"/>
    <w:basedOn w:val="a0"/>
    <w:rsid w:val="00A84744"/>
  </w:style>
  <w:style w:type="paragraph" w:styleId="a5">
    <w:name w:val="Normal (Web)"/>
    <w:basedOn w:val="a"/>
    <w:uiPriority w:val="99"/>
    <w:semiHidden/>
    <w:unhideWhenUsed/>
    <w:rsid w:val="00A8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A84744"/>
  </w:style>
  <w:style w:type="paragraph" w:styleId="a6">
    <w:name w:val="Balloon Text"/>
    <w:basedOn w:val="a"/>
    <w:link w:val="a7"/>
    <w:uiPriority w:val="99"/>
    <w:semiHidden/>
    <w:unhideWhenUsed/>
    <w:rsid w:val="00A8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84744"/>
    <w:rPr>
      <w:color w:val="0000FF"/>
      <w:u w:val="single"/>
    </w:rPr>
  </w:style>
  <w:style w:type="character" w:customStyle="1" w:styleId="channelbuttontitlegoff">
    <w:name w:val="channelbutton_title__gof_f"/>
    <w:basedOn w:val="a0"/>
    <w:rsid w:val="00A84744"/>
  </w:style>
  <w:style w:type="character" w:customStyle="1" w:styleId="channelbuttonsubtitlec5elf">
    <w:name w:val="channelbutton_subtitle__c5elf"/>
    <w:basedOn w:val="a0"/>
    <w:rsid w:val="00A84744"/>
  </w:style>
  <w:style w:type="character" w:customStyle="1" w:styleId="channelbuttonbutton7zdq0">
    <w:name w:val="channelbutton_button__7zdq0"/>
    <w:basedOn w:val="a0"/>
    <w:rsid w:val="00A84744"/>
  </w:style>
  <w:style w:type="paragraph" w:styleId="a5">
    <w:name w:val="Normal (Web)"/>
    <w:basedOn w:val="a"/>
    <w:uiPriority w:val="99"/>
    <w:semiHidden/>
    <w:unhideWhenUsed/>
    <w:rsid w:val="00A8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A84744"/>
  </w:style>
  <w:style w:type="paragraph" w:styleId="a6">
    <w:name w:val="Balloon Text"/>
    <w:basedOn w:val="a"/>
    <w:link w:val="a7"/>
    <w:uiPriority w:val="99"/>
    <w:semiHidden/>
    <w:unhideWhenUsed/>
    <w:rsid w:val="00A8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40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94759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9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00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131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03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2" w:color="F5F5F5"/>
                                <w:left w:val="none" w:sz="0" w:space="0" w:color="auto"/>
                                <w:bottom w:val="single" w:sz="6" w:space="20" w:color="F5F5F5"/>
                                <w:right w:val="none" w:sz="0" w:space="0" w:color="auto"/>
                              </w:divBdr>
                              <w:divsChild>
                                <w:div w:id="26712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71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573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2" w:color="F5F5F5"/>
                                <w:left w:val="none" w:sz="0" w:space="0" w:color="auto"/>
                                <w:bottom w:val="single" w:sz="6" w:space="20" w:color="F5F5F5"/>
                                <w:right w:val="none" w:sz="0" w:space="0" w:color="auto"/>
                              </w:divBdr>
                              <w:divsChild>
                                <w:div w:id="16869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4/01/02/v-minselhoze-rasskazali-kak-izmenitsia-gospodderzhka-apk-v-2024-god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3/07/03/sredstva-dostizhenij.html" TargetMode="External"/><Relationship Id="rId5" Type="http://schemas.openxmlformats.org/officeDocument/2006/relationships/hyperlink" Target="https://rg.ru/authors/Tatiana-Karab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2024-01-11T07:38:00Z</dcterms:created>
  <dcterms:modified xsi:type="dcterms:W3CDTF">2024-01-11T07:57:00Z</dcterms:modified>
</cp:coreProperties>
</file>